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705F3">
      <w:pPr>
        <w:jc w:val="center"/>
        <w:rPr>
          <w:rFonts w:ascii="ＭＳ 明朝" w:hAnsi="ＭＳ 明朝" w:hint="eastAsia"/>
          <w:color w:val="000000"/>
          <w:sz w:val="22"/>
        </w:rPr>
      </w:pPr>
      <w:bookmarkStart w:id="0" w:name="_GoBack"/>
      <w:bookmarkEnd w:id="0"/>
      <w:r>
        <w:rPr>
          <w:rFonts w:ascii="ＭＳ 明朝" w:hAnsi="ＭＳ 明朝" w:hint="eastAsia"/>
          <w:color w:val="000000"/>
          <w:sz w:val="22"/>
        </w:rPr>
        <w:t>三股町保育の必要性の認定基準に関する規則（案）</w:t>
      </w:r>
    </w:p>
    <w:p w:rsidR="00000000" w:rsidRDefault="000705F3">
      <w:pPr>
        <w:rPr>
          <w:rFonts w:ascii="ＭＳ 明朝" w:hAnsi="ＭＳ 明朝" w:hint="eastAsia"/>
          <w:color w:val="000000"/>
          <w:sz w:val="22"/>
        </w:rPr>
      </w:pP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（趣旨）</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第１条　この規則は、子ども・子育て支援法（平成２４年法律第６５号。以下「法」という。）第２０条第３項及び政令に基づき、保育必要量の認定の基準について必要な事項を定めるものとする。</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（定義）</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第２条　この規則において「保育必要量」とは、月を単位として内閣府令で定める期間において施設型給付費、特例施設型給付費、地域型保育給付費又は特例地域型保育給付費を支給する保育の量をいう。</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（認定区分）</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第３条　保育必要量の認定の区分は、法第１９条第１項各号に規定す</w:t>
      </w:r>
      <w:r>
        <w:rPr>
          <w:rFonts w:ascii="ＭＳ 明朝" w:hAnsi="ＭＳ 明朝" w:hint="eastAsia"/>
          <w:color w:val="000000"/>
          <w:sz w:val="22"/>
        </w:rPr>
        <w:t>るところによる。</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（認定基準）</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第４条　保育必要量の認定は、家庭において必要な保育を受けることが困難であるか否か、事由、区分及び優先利用に基づき行う。</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２　保育必要量の認定における「事由」とは、次の各号のいずれかに該当する場合をいう。</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1</w:t>
      </w:r>
      <w:r>
        <w:rPr>
          <w:rFonts w:ascii="ＭＳ 明朝" w:hAnsi="ＭＳ 明朝" w:hint="eastAsia"/>
          <w:color w:val="000000"/>
          <w:sz w:val="22"/>
        </w:rPr>
        <w:t>）就労</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2</w:t>
      </w:r>
      <w:r>
        <w:rPr>
          <w:rFonts w:ascii="ＭＳ 明朝" w:hAnsi="ＭＳ 明朝" w:hint="eastAsia"/>
          <w:color w:val="000000"/>
          <w:sz w:val="22"/>
        </w:rPr>
        <w:t>）妊娠又は出産</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3</w:t>
      </w:r>
      <w:r>
        <w:rPr>
          <w:rFonts w:ascii="ＭＳ 明朝" w:hAnsi="ＭＳ 明朝" w:hint="eastAsia"/>
          <w:color w:val="000000"/>
          <w:sz w:val="22"/>
        </w:rPr>
        <w:t>）保護者の疾病又は障害</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4</w:t>
      </w:r>
      <w:r>
        <w:rPr>
          <w:rFonts w:ascii="ＭＳ 明朝" w:hAnsi="ＭＳ 明朝" w:hint="eastAsia"/>
          <w:color w:val="000000"/>
          <w:sz w:val="22"/>
        </w:rPr>
        <w:t>）同居又は長期入院等をしている親族の介護又は看護</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5</w:t>
      </w:r>
      <w:r>
        <w:rPr>
          <w:rFonts w:ascii="ＭＳ 明朝" w:hAnsi="ＭＳ 明朝" w:hint="eastAsia"/>
          <w:color w:val="000000"/>
          <w:sz w:val="22"/>
        </w:rPr>
        <w:t>）災害復旧</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6</w:t>
      </w:r>
      <w:r>
        <w:rPr>
          <w:rFonts w:ascii="ＭＳ 明朝" w:hAnsi="ＭＳ 明朝" w:hint="eastAsia"/>
          <w:color w:val="000000"/>
          <w:sz w:val="22"/>
        </w:rPr>
        <w:t>）求職活動</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7</w:t>
      </w:r>
      <w:r>
        <w:rPr>
          <w:rFonts w:ascii="ＭＳ 明朝" w:hAnsi="ＭＳ 明朝" w:hint="eastAsia"/>
          <w:color w:val="000000"/>
          <w:sz w:val="22"/>
        </w:rPr>
        <w:t>）就学</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8</w:t>
      </w:r>
      <w:r>
        <w:rPr>
          <w:rFonts w:ascii="ＭＳ 明朝" w:hAnsi="ＭＳ 明朝" w:hint="eastAsia"/>
          <w:color w:val="000000"/>
          <w:sz w:val="22"/>
        </w:rPr>
        <w:t>）虐待又はＤＶのおそれがあること</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9</w:t>
      </w:r>
      <w:r>
        <w:rPr>
          <w:rFonts w:ascii="ＭＳ 明朝" w:hAnsi="ＭＳ 明朝" w:hint="eastAsia"/>
          <w:color w:val="000000"/>
          <w:sz w:val="22"/>
        </w:rPr>
        <w:t>）育児休業取得時に、既に保育を利用している子どもがいて継続</w:t>
      </w:r>
      <w:r>
        <w:rPr>
          <w:rFonts w:ascii="ＭＳ 明朝" w:hAnsi="ＭＳ 明朝" w:hint="eastAsia"/>
          <w:color w:val="000000"/>
          <w:sz w:val="22"/>
        </w:rPr>
        <w:t>利用が必要であること</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10</w:t>
      </w:r>
      <w:r>
        <w:rPr>
          <w:rFonts w:ascii="ＭＳ 明朝" w:hAnsi="ＭＳ 明朝" w:hint="eastAsia"/>
          <w:color w:val="000000"/>
          <w:sz w:val="22"/>
        </w:rPr>
        <w:t>）前各号に類する事由であると町長が認める場合</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３　保育必要量の認定における「区分」とは、次の各号のいずれかに該当する場合をいう。</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1</w:t>
      </w:r>
      <w:r>
        <w:rPr>
          <w:rFonts w:ascii="ＭＳ 明朝" w:hAnsi="ＭＳ 明朝" w:hint="eastAsia"/>
          <w:color w:val="000000"/>
          <w:sz w:val="22"/>
        </w:rPr>
        <w:t>）保育標準時</w:t>
      </w:r>
      <w:r>
        <w:rPr>
          <w:rFonts w:ascii="ＭＳ 明朝" w:hAnsi="ＭＳ 明朝" w:hint="eastAsia"/>
          <w:sz w:val="22"/>
        </w:rPr>
        <w:t>間</w:t>
      </w:r>
      <w:r>
        <w:rPr>
          <w:rFonts w:ascii="ＭＳ 明朝" w:hAnsi="ＭＳ 明朝" w:hint="eastAsia"/>
          <w:color w:val="000000"/>
          <w:sz w:val="22"/>
        </w:rPr>
        <w:t xml:space="preserve">　保育必要量として１日１１時間までの利用に対応するものとして、１月当たり平均２７５時間とするものをいう。</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2</w:t>
      </w:r>
      <w:r>
        <w:rPr>
          <w:rFonts w:ascii="ＭＳ 明朝" w:hAnsi="ＭＳ 明朝" w:hint="eastAsia"/>
          <w:color w:val="000000"/>
          <w:sz w:val="22"/>
        </w:rPr>
        <w:t>）保育短時間　保育必要量として１目８時間までの利用に対応するものとして、１月当たり平均２００時間とするものをいう。</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４　保育必要量の認定における「優先利用」とは、次の各号のいずれかに該当する場合をいう。</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1</w:t>
      </w:r>
      <w:r>
        <w:rPr>
          <w:rFonts w:ascii="ＭＳ 明朝" w:hAnsi="ＭＳ 明朝" w:hint="eastAsia"/>
          <w:color w:val="000000"/>
          <w:sz w:val="22"/>
        </w:rPr>
        <w:t>）ひとり親</w:t>
      </w:r>
      <w:r>
        <w:rPr>
          <w:rFonts w:ascii="ＭＳ 明朝" w:hAnsi="ＭＳ 明朝" w:hint="eastAsia"/>
          <w:color w:val="000000"/>
          <w:sz w:val="22"/>
        </w:rPr>
        <w:t>家庭</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2</w:t>
      </w:r>
      <w:r>
        <w:rPr>
          <w:rFonts w:ascii="ＭＳ 明朝" w:hAnsi="ＭＳ 明朝" w:hint="eastAsia"/>
          <w:color w:val="000000"/>
          <w:sz w:val="22"/>
        </w:rPr>
        <w:t>）生活保護世帯（就労による自立支援につながる場合等）</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3</w:t>
      </w:r>
      <w:r>
        <w:rPr>
          <w:rFonts w:ascii="ＭＳ 明朝" w:hAnsi="ＭＳ 明朝" w:hint="eastAsia"/>
          <w:color w:val="000000"/>
          <w:sz w:val="22"/>
        </w:rPr>
        <w:t>）生計中心</w:t>
      </w:r>
      <w:r>
        <w:rPr>
          <w:rFonts w:ascii="ＭＳ 明朝" w:hAnsi="ＭＳ 明朝" w:hint="eastAsia"/>
          <w:sz w:val="22"/>
        </w:rPr>
        <w:t>者</w:t>
      </w:r>
      <w:r>
        <w:rPr>
          <w:rFonts w:ascii="ＭＳ 明朝" w:hAnsi="ＭＳ 明朝" w:hint="eastAsia"/>
          <w:color w:val="000000"/>
          <w:sz w:val="22"/>
        </w:rPr>
        <w:t>の失業により、就労の必要性が高い場合</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4</w:t>
      </w:r>
      <w:r>
        <w:rPr>
          <w:rFonts w:ascii="ＭＳ 明朝" w:hAnsi="ＭＳ 明朝" w:hint="eastAsia"/>
          <w:color w:val="000000"/>
          <w:sz w:val="22"/>
        </w:rPr>
        <w:t>）虐待やＤＶのおそれがある場合、その他社会的養護の必要性がある場合</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5</w:t>
      </w:r>
      <w:r>
        <w:rPr>
          <w:rFonts w:ascii="ＭＳ 明朝" w:hAnsi="ＭＳ 明朝" w:hint="eastAsia"/>
          <w:color w:val="000000"/>
          <w:sz w:val="22"/>
        </w:rPr>
        <w:t>）子どもが障害を有する場合</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6</w:t>
      </w:r>
      <w:r>
        <w:rPr>
          <w:rFonts w:ascii="ＭＳ 明朝" w:hAnsi="ＭＳ 明朝" w:hint="eastAsia"/>
          <w:color w:val="000000"/>
          <w:sz w:val="22"/>
        </w:rPr>
        <w:t>）育児休業明け</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7</w:t>
      </w:r>
      <w:r>
        <w:rPr>
          <w:rFonts w:ascii="ＭＳ 明朝" w:hAnsi="ＭＳ 明朝" w:hint="eastAsia"/>
          <w:color w:val="000000"/>
          <w:sz w:val="22"/>
        </w:rPr>
        <w:t>）兄弟姉妹（多胎児を含む｡）が同一の保育所等の利用を希望する場合</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8</w:t>
      </w:r>
      <w:r>
        <w:rPr>
          <w:rFonts w:ascii="ＭＳ 明朝" w:hAnsi="ＭＳ 明朝" w:hint="eastAsia"/>
          <w:color w:val="000000"/>
          <w:sz w:val="22"/>
        </w:rPr>
        <w:t>）小規模保育事業など地域型保育事業の卒園児童</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9</w:t>
      </w:r>
      <w:r>
        <w:rPr>
          <w:rFonts w:ascii="ＭＳ 明朝" w:hAnsi="ＭＳ 明朝" w:hint="eastAsia"/>
          <w:color w:val="000000"/>
          <w:sz w:val="22"/>
        </w:rPr>
        <w:t>）その他町長が定める場合</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lastRenderedPageBreak/>
        <w:t xml:space="preserve">　（保育必要量の認定）</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第５条　前条の規定により、子どものための教育・保育給付を受けようとする保護者が、</w:t>
      </w:r>
      <w:r>
        <w:rPr>
          <w:rFonts w:ascii="ＭＳ 明朝" w:hAnsi="ＭＳ 明朝" w:hint="eastAsia"/>
          <w:color w:val="000000"/>
          <w:sz w:val="22"/>
        </w:rPr>
        <w:t>家庭において必要な保育を受けることが困難ではない場合には、法第１９条第１項第１号に規定する保育必要量の認定を行うものとする。</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２　前条の規定により、子どものための教育・保育給付を受けようとする保護</w:t>
      </w:r>
      <w:r>
        <w:rPr>
          <w:rFonts w:ascii="ＭＳ 明朝" w:hAnsi="ＭＳ 明朝" w:hint="eastAsia"/>
          <w:b/>
          <w:bCs/>
          <w:color w:val="FF0000"/>
          <w:sz w:val="22"/>
        </w:rPr>
        <w:t>者</w:t>
      </w:r>
      <w:r>
        <w:rPr>
          <w:rFonts w:ascii="ＭＳ 明朝" w:hAnsi="ＭＳ 明朝" w:hint="eastAsia"/>
          <w:color w:val="000000"/>
          <w:sz w:val="22"/>
        </w:rPr>
        <w:t>が、家庭において必要な保育を受けることが困難である場合には、その事由、区分、優先利用の状況により、法第１９条第１項第２号又は第３号に規定する保育必要量の認定を行うものとする。</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（認定期間）</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第６条　保育の必要量の認定の期間は、次のとおりとする。ただし、保育の必要性の認定を受ける事由に該当しなくなった場合には、当</w:t>
      </w:r>
      <w:r>
        <w:rPr>
          <w:rFonts w:ascii="ＭＳ 明朝" w:hAnsi="ＭＳ 明朝" w:hint="eastAsia"/>
          <w:color w:val="000000"/>
          <w:sz w:val="22"/>
        </w:rPr>
        <w:t>該認定の期間は満了するものとする。</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1</w:t>
      </w:r>
      <w:r>
        <w:rPr>
          <w:rFonts w:ascii="ＭＳ 明朝" w:hAnsi="ＭＳ 明朝" w:hint="eastAsia"/>
          <w:color w:val="000000"/>
          <w:sz w:val="22"/>
        </w:rPr>
        <w:t>）法第１９条第１項第１号に該当する場合は３年間</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2</w:t>
      </w:r>
      <w:r>
        <w:rPr>
          <w:rFonts w:ascii="ＭＳ 明朝" w:hAnsi="ＭＳ 明朝" w:hint="eastAsia"/>
          <w:color w:val="000000"/>
          <w:sz w:val="22"/>
        </w:rPr>
        <w:t>）法第１９条第１項第２号に該当する場合は小学校就学前までの３年間</w:t>
      </w:r>
    </w:p>
    <w:p w:rsidR="00000000" w:rsidRDefault="000705F3">
      <w:pPr>
        <w:snapToGrid w:val="0"/>
        <w:ind w:left="660" w:hangingChars="300" w:hanging="660"/>
        <w:jc w:val="left"/>
        <w:rPr>
          <w:rFonts w:ascii="ＭＳ 明朝" w:hAnsi="ＭＳ 明朝" w:hint="eastAsia"/>
          <w:color w:val="000000"/>
          <w:sz w:val="22"/>
        </w:rPr>
      </w:pPr>
      <w:r>
        <w:rPr>
          <w:rFonts w:ascii="ＭＳ 明朝" w:hAnsi="ＭＳ 明朝" w:hint="eastAsia"/>
          <w:color w:val="000000"/>
          <w:sz w:val="22"/>
        </w:rPr>
        <w:t xml:space="preserve">　（</w:t>
      </w:r>
      <w:r>
        <w:rPr>
          <w:rFonts w:ascii="ＭＳ 明朝" w:hAnsi="ＭＳ 明朝" w:hint="eastAsia"/>
          <w:color w:val="000000"/>
          <w:sz w:val="22"/>
        </w:rPr>
        <w:t>3</w:t>
      </w:r>
      <w:r>
        <w:rPr>
          <w:rFonts w:ascii="ＭＳ 明朝" w:hAnsi="ＭＳ 明朝" w:hint="eastAsia"/>
          <w:color w:val="000000"/>
          <w:sz w:val="22"/>
        </w:rPr>
        <w:t>）法第１９条第１項第３号に該当する場合は満３歳の誕生日までの３年間</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２　前項各号の規定にかかわらず、第４条第２項第６号に該当する場合の期間は、９０日とする。</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（委任）</w:t>
      </w:r>
    </w:p>
    <w:p w:rsidR="00000000" w:rsidRDefault="000705F3">
      <w:pPr>
        <w:snapToGrid w:val="0"/>
        <w:ind w:left="220" w:hangingChars="100" w:hanging="220"/>
        <w:jc w:val="left"/>
        <w:rPr>
          <w:rFonts w:ascii="ＭＳ 明朝" w:hAnsi="ＭＳ 明朝" w:hint="eastAsia"/>
          <w:color w:val="000000"/>
          <w:sz w:val="22"/>
        </w:rPr>
      </w:pPr>
      <w:r>
        <w:rPr>
          <w:rFonts w:ascii="ＭＳ 明朝" w:hAnsi="ＭＳ 明朝" w:hint="eastAsia"/>
          <w:color w:val="000000"/>
          <w:sz w:val="22"/>
        </w:rPr>
        <w:t>第７条　この規則に定めるもののほか、保育必要量の認定の基準に間し必要な事項は、町長が別に定める。</w:t>
      </w:r>
    </w:p>
    <w:p w:rsidR="00000000" w:rsidRDefault="000705F3">
      <w:pPr>
        <w:snapToGrid w:val="0"/>
        <w:ind w:left="220" w:hangingChars="100" w:hanging="220"/>
        <w:jc w:val="left"/>
        <w:rPr>
          <w:rFonts w:ascii="ＭＳ 明朝" w:hAnsi="ＭＳ 明朝" w:hint="eastAsia"/>
          <w:color w:val="000000"/>
          <w:sz w:val="22"/>
        </w:rPr>
      </w:pPr>
    </w:p>
    <w:p w:rsidR="00000000" w:rsidRDefault="000705F3">
      <w:pPr>
        <w:snapToGrid w:val="0"/>
        <w:ind w:left="220" w:hangingChars="100" w:hanging="220"/>
        <w:jc w:val="left"/>
        <w:rPr>
          <w:rFonts w:ascii="ＭＳ 明朝" w:hAnsi="ＭＳ 明朝" w:hint="eastAsia"/>
          <w:color w:val="000000"/>
          <w:sz w:val="22"/>
        </w:rPr>
      </w:pP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 xml:space="preserve">　附　則</w:t>
      </w:r>
    </w:p>
    <w:p w:rsidR="00000000" w:rsidRDefault="000705F3">
      <w:pPr>
        <w:snapToGrid w:val="0"/>
        <w:ind w:firstLineChars="100" w:firstLine="220"/>
        <w:jc w:val="left"/>
        <w:rPr>
          <w:rFonts w:ascii="ＭＳ 明朝" w:hAnsi="ＭＳ 明朝" w:hint="eastAsia"/>
          <w:color w:val="000000"/>
          <w:sz w:val="22"/>
        </w:rPr>
      </w:pPr>
      <w:r>
        <w:rPr>
          <w:rFonts w:ascii="ＭＳ 明朝" w:hAnsi="ＭＳ 明朝" w:hint="eastAsia"/>
          <w:color w:val="000000"/>
          <w:sz w:val="22"/>
        </w:rPr>
        <w:t xml:space="preserve">（施行期日）　　　　　　　　　　　　</w:t>
      </w:r>
    </w:p>
    <w:p w:rsidR="00000000" w:rsidRDefault="000705F3">
      <w:pPr>
        <w:snapToGrid w:val="0"/>
        <w:jc w:val="left"/>
        <w:rPr>
          <w:rFonts w:ascii="ＭＳ 明朝" w:hAnsi="ＭＳ 明朝" w:hint="eastAsia"/>
          <w:color w:val="000000"/>
          <w:sz w:val="22"/>
        </w:rPr>
      </w:pPr>
      <w:r>
        <w:rPr>
          <w:rFonts w:ascii="ＭＳ 明朝" w:hAnsi="ＭＳ 明朝" w:hint="eastAsia"/>
          <w:color w:val="000000"/>
          <w:sz w:val="22"/>
        </w:rPr>
        <w:t>第１条　この規則は、法の</w:t>
      </w:r>
      <w:r>
        <w:rPr>
          <w:rFonts w:ascii="ＭＳ 明朝" w:hAnsi="ＭＳ 明朝" w:hint="eastAsia"/>
          <w:color w:val="000000"/>
          <w:sz w:val="22"/>
        </w:rPr>
        <w:t>施行の日から施行する。</w:t>
      </w:r>
    </w:p>
    <w:p w:rsidR="00000000" w:rsidRDefault="000705F3">
      <w:pPr>
        <w:pStyle w:val="a3"/>
        <w:ind w:left="220" w:hanging="220"/>
        <w:rPr>
          <w:rFonts w:hint="eastAsia"/>
          <w:sz w:val="22"/>
        </w:rPr>
      </w:pPr>
      <w:r>
        <w:rPr>
          <w:rFonts w:hint="eastAsia"/>
          <w:sz w:val="22"/>
        </w:rPr>
        <w:t xml:space="preserve">　（適用）</w:t>
      </w:r>
    </w:p>
    <w:p w:rsidR="00000000" w:rsidRDefault="000705F3">
      <w:pPr>
        <w:pStyle w:val="a3"/>
        <w:ind w:left="220" w:hanging="220"/>
        <w:rPr>
          <w:sz w:val="22"/>
        </w:rPr>
      </w:pPr>
      <w:r>
        <w:rPr>
          <w:rFonts w:hint="eastAsia"/>
          <w:sz w:val="22"/>
        </w:rPr>
        <w:t>第２条　この規則は、法の施行の日以後に保育を受ける小学校就学前子どもの支給認定について適用する。</w:t>
      </w:r>
    </w:p>
    <w:sectPr w:rsidR="000000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F3"/>
    <w:rsid w:val="0007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D45E42-95EE-485D-AB86-D8427B17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napToGrid w:val="0"/>
      <w:ind w:left="200" w:hangingChars="100" w:hanging="200"/>
      <w:jc w:val="left"/>
    </w:pPr>
    <w:rPr>
      <w:rFonts w:ascii="ＭＳ 明朝" w:hAnsi="ＭＳ 明朝"/>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三郷市保育の必要性の認定基準に関する例規（案）</vt:lpstr>
    </vt:vector>
  </TitlesOfParts>
  <Company>三股町</Company>
  <LinksUpToDate>false</LinksUpToDate>
  <CharactersWithSpaces>1600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三郷市保育の必要性の認定基準に関する例規（案）</dc:title>
  <dc:subject/>
  <dc:creator>0378</dc:creator>
  <cp:keywords/>
  <dc:description/>
  <cp:lastModifiedBy>大浦 明</cp:lastModifiedBy>
  <cp:revision>2</cp:revision>
  <cp:lastPrinted>2014-08-19T11:14:00Z</cp:lastPrinted>
  <dcterms:created xsi:type="dcterms:W3CDTF">2019-08-29T07:22:00Z</dcterms:created>
  <dcterms:modified xsi:type="dcterms:W3CDTF">2019-08-29T07:22:00Z</dcterms:modified>
</cp:coreProperties>
</file>